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69" w:rsidRDefault="002C0029" w:rsidP="002C00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Vycházky v MŠ</w:t>
      </w:r>
    </w:p>
    <w:p w:rsidR="002C0029" w:rsidRDefault="002C0029" w:rsidP="002C0029">
      <w:pPr>
        <w:jc w:val="center"/>
        <w:rPr>
          <w:b/>
          <w:sz w:val="32"/>
          <w:szCs w:val="32"/>
          <w:u w:val="single"/>
        </w:rPr>
      </w:pPr>
    </w:p>
    <w:p w:rsidR="002C0029" w:rsidRDefault="002C0029" w:rsidP="002C00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 vzdělávací oblasti Dítě a svět, získávají děti povědomí o okolním světě a to začíná nejbližším okolím. Na vycházky chodíme rádi. Poznáváme okolní přírodu, jak se mění, zvířátka na pastvě i významné budovy v obci. Protože semafory v naší obci nejsou, vypravili jsme se k železničnímu přejezdu na Dolním konci </w:t>
      </w:r>
      <w:proofErr w:type="spellStart"/>
      <w:r>
        <w:rPr>
          <w:sz w:val="32"/>
          <w:szCs w:val="32"/>
        </w:rPr>
        <w:t>Pustějova</w:t>
      </w:r>
      <w:proofErr w:type="spellEnd"/>
      <w:r>
        <w:rPr>
          <w:sz w:val="32"/>
          <w:szCs w:val="32"/>
        </w:rPr>
        <w:t xml:space="preserve"> a kromě výstražného znamení (semaforu) jsme viděli projíždět osobní a nákladní vlaky. Nejraději však chodíme na školní zahradu, kde se vydovádíme.</w:t>
      </w:r>
    </w:p>
    <w:p w:rsidR="002C0029" w:rsidRPr="002C0029" w:rsidRDefault="002C0029" w:rsidP="002C0029">
      <w:pPr>
        <w:jc w:val="right"/>
        <w:rPr>
          <w:sz w:val="32"/>
          <w:szCs w:val="32"/>
        </w:rPr>
      </w:pPr>
      <w:r>
        <w:rPr>
          <w:sz w:val="32"/>
          <w:szCs w:val="32"/>
        </w:rPr>
        <w:t>Mgr. Věra Heiníková</w:t>
      </w:r>
    </w:p>
    <w:sectPr w:rsidR="002C0029" w:rsidRPr="002C0029" w:rsidSect="0092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029"/>
    <w:rsid w:val="002C0029"/>
    <w:rsid w:val="0092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2016-05-10T16:50:00Z</dcterms:created>
  <dcterms:modified xsi:type="dcterms:W3CDTF">2016-05-10T16:55:00Z</dcterms:modified>
</cp:coreProperties>
</file>